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30"/>
        <w:gridCol w:w="7976"/>
      </w:tblGrid>
      <w:tr w:rsidR="00481BAC" w:rsidRPr="00481BAC" w:rsidTr="00481BAC">
        <w:trPr>
          <w:trHeight w:val="330"/>
          <w:jc w:val="center"/>
        </w:trPr>
        <w:tc>
          <w:tcPr>
            <w:tcW w:w="330" w:type="dxa"/>
            <w:vAlign w:val="center"/>
            <w:hideMark/>
          </w:tcPr>
          <w:p w:rsidR="00481BAC" w:rsidRPr="00481BAC" w:rsidRDefault="00481BAC" w:rsidP="00481BAC">
            <w:pPr>
              <w:widowControl/>
              <w:jc w:val="left"/>
              <w:rPr>
                <w:rFonts w:ascii="宋体" w:eastAsia="宋体" w:hAnsi="宋体" w:cs="宋体"/>
                <w:kern w:val="0"/>
                <w:sz w:val="24"/>
                <w:szCs w:val="24"/>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976"/>
            </w:tblGrid>
            <w:tr w:rsidR="00481BAC" w:rsidRPr="00481BAC">
              <w:trPr>
                <w:jc w:val="center"/>
              </w:trPr>
              <w:tc>
                <w:tcPr>
                  <w:tcW w:w="0" w:type="auto"/>
                  <w:vAlign w:val="center"/>
                  <w:hideMark/>
                </w:tcPr>
                <w:p w:rsidR="00481BAC" w:rsidRPr="000446E6" w:rsidRDefault="00481BAC" w:rsidP="00481BAC">
                  <w:pPr>
                    <w:widowControl/>
                    <w:jc w:val="center"/>
                    <w:rPr>
                      <w:rFonts w:ascii="宋体" w:eastAsia="宋体" w:hAnsi="宋体" w:cs="宋体"/>
                      <w:b/>
                      <w:color w:val="444341"/>
                      <w:kern w:val="0"/>
                      <w:sz w:val="26"/>
                      <w:szCs w:val="18"/>
                    </w:rPr>
                  </w:pPr>
                  <w:hyperlink r:id="rId4" w:tgtFrame="_blank" w:tooltip="关于福建省社科规划项目成果鉴定结项有关事项的通知" w:history="1">
                    <w:r w:rsidRPr="000446E6">
                      <w:rPr>
                        <w:rFonts w:ascii="宋体" w:eastAsia="宋体" w:hAnsi="宋体" w:cs="宋体"/>
                        <w:b/>
                        <w:color w:val="444341"/>
                        <w:kern w:val="0"/>
                        <w:sz w:val="26"/>
                        <w:szCs w:val="18"/>
                      </w:rPr>
                      <w:t>关于福建省社科规划项目成果鉴定结项有关事项的通知</w:t>
                    </w:r>
                  </w:hyperlink>
                </w:p>
                <w:p w:rsidR="00481BAC" w:rsidRPr="00481BAC" w:rsidRDefault="00481BAC" w:rsidP="00481BAC">
                  <w:pPr>
                    <w:widowControl/>
                    <w:spacing w:before="100" w:beforeAutospacing="1" w:after="100" w:afterAutospacing="1" w:line="555" w:lineRule="exact"/>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各相关单位科研管理部门：</w:t>
                  </w:r>
                </w:p>
                <w:p w:rsidR="00481BAC" w:rsidRPr="00481BAC" w:rsidRDefault="00481BAC" w:rsidP="00481BAC">
                  <w:pPr>
                    <w:widowControl/>
                    <w:spacing w:before="100" w:beforeAutospacing="1" w:after="100" w:afterAutospacing="1" w:line="555" w:lineRule="exact"/>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为了进一步加强省社科规划项目管理，提高省社科规划项目的成果质量，把好项目“出口关”，维护省社科规划项目研究的严肃性与权威性。现将2017年以后（含）的省社科规划项目鉴定结项有关事项通知如下：</w:t>
                  </w:r>
                </w:p>
                <w:p w:rsidR="00481BAC" w:rsidRPr="00481BAC" w:rsidRDefault="00481BAC" w:rsidP="00481BAC">
                  <w:pPr>
                    <w:widowControl/>
                    <w:spacing w:before="100" w:beforeAutospacing="1" w:after="100" w:afterAutospacing="1" w:line="555" w:lineRule="exact"/>
                    <w:ind w:left="555"/>
                    <w:jc w:val="left"/>
                    <w:rPr>
                      <w:rFonts w:ascii="宋体" w:eastAsia="宋体" w:hAnsi="宋体" w:cs="宋体"/>
                      <w:color w:val="444341"/>
                      <w:kern w:val="0"/>
                      <w:szCs w:val="21"/>
                    </w:rPr>
                  </w:pPr>
                  <w:bookmarkStart w:id="0" w:name="_GoBack"/>
                  <w:bookmarkEnd w:id="0"/>
                  <w:r w:rsidRPr="00481BAC">
                    <w:rPr>
                      <w:rFonts w:ascii="仿宋" w:eastAsia="仿宋" w:hAnsi="仿宋" w:cs="宋体" w:hint="eastAsia"/>
                      <w:color w:val="444341"/>
                      <w:kern w:val="0"/>
                      <w:sz w:val="29"/>
                      <w:szCs w:val="29"/>
                    </w:rPr>
                    <w:t>一、年度项目结项条件</w:t>
                  </w:r>
                </w:p>
                <w:p w:rsidR="00481BAC" w:rsidRPr="00481BAC" w:rsidRDefault="00481BAC" w:rsidP="00481BAC">
                  <w:pPr>
                    <w:widowControl/>
                    <w:spacing w:before="100" w:beforeAutospacing="1" w:after="100" w:afterAutospacing="1" w:line="555" w:lineRule="exact"/>
                    <w:ind w:firstLineChars="200" w:firstLine="580"/>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一）基础研究项目最终成果形式为论文集的项目，重大项目、重点项目项目负责人及课题组成员至少要公开发表5篇以上与项目研究内容相关的学术论文，其中在CSSCI来源期刊（不含扩展版）上发表不少于2篇；一般项目、青年项目项目负责人及课题组成员至少要公开发表3篇以上与项目研究内容相关的学术论文，其中在CSSCI来源期刊（不含扩展版）上发表不少于1篇。</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二）基础研究项目最终成果形式为专著的项目，至少要公开发表1篇以上与项目研究内容相关的学术论文，允许项目成果先出版后结项，由国家一级出版社出版的专著可以给予免鉴定结项（具体出版社参照每年新闻出版总署发布的名单）。</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（三）应用研究项目最终成果为研究报告的项目，其阶段性成果原则上须入选《福建省社科规划项目成果要报》、</w:t>
                  </w:r>
                  <w:r w:rsidRPr="00481BAC">
                    <w:rPr>
                      <w:rFonts w:ascii="仿宋" w:eastAsia="仿宋" w:hAnsi="仿宋" w:cs="宋体" w:hint="eastAsia"/>
                      <w:color w:val="444341"/>
                      <w:spacing w:val="-15"/>
                      <w:kern w:val="0"/>
                      <w:sz w:val="29"/>
                      <w:szCs w:val="29"/>
                    </w:rPr>
                    <w:t>省委</w:t>
                  </w:r>
                  <w:r w:rsidRPr="00481BAC">
                    <w:rPr>
                      <w:rFonts w:ascii="仿宋" w:eastAsia="仿宋" w:hAnsi="仿宋" w:cs="宋体" w:hint="eastAsia"/>
                      <w:color w:val="444341"/>
                      <w:spacing w:val="-15"/>
                      <w:kern w:val="0"/>
                      <w:sz w:val="29"/>
                      <w:szCs w:val="29"/>
                    </w:rPr>
                    <w:lastRenderedPageBreak/>
                    <w:t>办公厅《八闽快讯》（专报件）、省委政策研究室《调研文稿》、省政府发展研究中心《研究报告》</w:t>
                  </w:r>
                  <w:r w:rsidRPr="00481BAC">
                    <w:rPr>
                      <w:rFonts w:ascii="仿宋" w:eastAsia="仿宋" w:hAnsi="仿宋" w:cs="宋体" w:hint="eastAsia"/>
                      <w:color w:val="444341"/>
                      <w:kern w:val="0"/>
                      <w:sz w:val="29"/>
                      <w:szCs w:val="29"/>
                    </w:rPr>
                    <w:t>才能结项。</w:t>
                  </w:r>
                </w:p>
                <w:p w:rsidR="00481BAC" w:rsidRPr="00481BAC" w:rsidRDefault="00481BAC" w:rsidP="00481BAC">
                  <w:pPr>
                    <w:widowControl/>
                    <w:spacing w:before="100" w:beforeAutospacing="1" w:after="100" w:afterAutospacing="1" w:line="555" w:lineRule="exact"/>
                    <w:ind w:firstLineChars="200" w:firstLine="580"/>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（四）上述项目的项目负责人在申请结项时需对项目最终成果进行查重检测。查重检测率≥20%的项目不予受理。</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二、后期资助项目结项条件</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（一）基础研究后期资助项目，最终成果要在规划办指定的出版机构正式出版后才能结项。</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（二）应用研究后期资助项目申报公告（一）项目，要在规定时间内完成与项目选题一致的研究报告才能结项。</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（三）获得应用研究后期资助项目申报公告（二）立项的项目，只需填写《结项审批书》即可办理结项手续。</w:t>
                  </w:r>
                </w:p>
                <w:p w:rsidR="00481BAC" w:rsidRPr="00481BAC" w:rsidRDefault="00481BAC" w:rsidP="00481BAC">
                  <w:pPr>
                    <w:widowControl/>
                    <w:spacing w:before="100" w:beforeAutospacing="1" w:after="100" w:afterAutospacing="1" w:line="555" w:lineRule="exact"/>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三、免于鉴定条件</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省社科规划项目成果符合下列条件之一，并且项目负责人为第一作者的，可以申请免于鉴定：</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宋体" w:eastAsia="宋体" w:hAnsi="宋体" w:cs="宋体"/>
                      <w:color w:val="444341"/>
                      <w:kern w:val="0"/>
                      <w:szCs w:val="21"/>
                    </w:rPr>
                    <w:t>&lt;!--[if !supportLists]--&gt;</w:t>
                  </w:r>
                  <w:r w:rsidRPr="00481BAC">
                    <w:rPr>
                      <w:rFonts w:ascii="仿宋" w:eastAsia="仿宋" w:hAnsi="仿宋" w:cs="宋体" w:hint="eastAsia"/>
                      <w:color w:val="444341"/>
                      <w:kern w:val="0"/>
                      <w:sz w:val="29"/>
                      <w:szCs w:val="29"/>
                    </w:rPr>
                    <w:t>（一）</w:t>
                  </w:r>
                  <w:r w:rsidRPr="00481BAC">
                    <w:rPr>
                      <w:rFonts w:ascii="宋体" w:eastAsia="宋体" w:hAnsi="宋体" w:cs="宋体"/>
                      <w:color w:val="444341"/>
                      <w:kern w:val="0"/>
                      <w:szCs w:val="21"/>
                    </w:rPr>
                    <w:t>&lt;!--[endif]--&gt;</w:t>
                  </w:r>
                  <w:r w:rsidRPr="00481BAC">
                    <w:rPr>
                      <w:rFonts w:ascii="仿宋" w:eastAsia="仿宋" w:hAnsi="仿宋" w:cs="宋体" w:hint="eastAsia"/>
                      <w:color w:val="444341"/>
                      <w:kern w:val="0"/>
                      <w:sz w:val="29"/>
                      <w:szCs w:val="29"/>
                    </w:rPr>
                    <w:t>重大项目、重点项目成果在权威期刊（权威期刊名单以省社科规划办每年发布的期刊为准）发表2篇以上（含2篇）学术论文的；在《人民日报》《光明日报》《经济日报》发表2篇以上（含2篇）理论文章；《新华文摘》《中国社会科学文摘》《高等学校文科学</w:t>
                  </w:r>
                  <w:r w:rsidRPr="00481BAC">
                    <w:rPr>
                      <w:rFonts w:ascii="仿宋" w:eastAsia="仿宋" w:hAnsi="仿宋" w:cs="宋体" w:hint="eastAsia"/>
                      <w:color w:val="444341"/>
                      <w:kern w:val="0"/>
                      <w:sz w:val="29"/>
                      <w:szCs w:val="29"/>
                    </w:rPr>
                    <w:lastRenderedPageBreak/>
                    <w:t>术文摘》全文转摘的；项目的阶段性成果得到省部级以上（含省部级）党政领导肯定性批示并被采纳的；</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宋体" w:eastAsia="宋体" w:hAnsi="宋体" w:cs="宋体"/>
                      <w:color w:val="444341"/>
                      <w:kern w:val="0"/>
                      <w:szCs w:val="21"/>
                    </w:rPr>
                    <w:t>&lt;!--[if !supportLists]--&gt;</w:t>
                  </w:r>
                  <w:r w:rsidRPr="00481BAC">
                    <w:rPr>
                      <w:rFonts w:ascii="仿宋" w:eastAsia="仿宋" w:hAnsi="仿宋" w:cs="宋体" w:hint="eastAsia"/>
                      <w:color w:val="444341"/>
                      <w:kern w:val="0"/>
                      <w:sz w:val="29"/>
                      <w:szCs w:val="29"/>
                    </w:rPr>
                    <w:t>（二）</w:t>
                  </w:r>
                  <w:r w:rsidRPr="00481BAC">
                    <w:rPr>
                      <w:rFonts w:ascii="宋体" w:eastAsia="宋体" w:hAnsi="宋体" w:cs="宋体"/>
                      <w:color w:val="444341"/>
                      <w:kern w:val="0"/>
                      <w:szCs w:val="21"/>
                    </w:rPr>
                    <w:t>&lt;!--[endif]--&gt;</w:t>
                  </w:r>
                  <w:r w:rsidRPr="00481BAC">
                    <w:rPr>
                      <w:rFonts w:ascii="仿宋" w:eastAsia="仿宋" w:hAnsi="仿宋" w:cs="宋体" w:hint="eastAsia"/>
                      <w:color w:val="444341"/>
                      <w:kern w:val="0"/>
                      <w:sz w:val="29"/>
                      <w:szCs w:val="29"/>
                    </w:rPr>
                    <w:t>一般项目、青年项目成果在CSSCI来源期刊（不含扩展版）上发表2篇以上（含2篇）学术论文的；在《人民日报》《光明日报》《经济日报》发表1篇以上（含1篇）学术论文的；或项目的阶段性成果得到省部级以上（含省部级）党政领导肯定性批示或被采纳的；</w:t>
                  </w:r>
                </w:p>
                <w:p w:rsidR="00481BAC" w:rsidRPr="00481BAC" w:rsidRDefault="00481BAC" w:rsidP="00481BAC">
                  <w:pPr>
                    <w:widowControl/>
                    <w:spacing w:before="100" w:beforeAutospacing="1" w:after="100" w:afterAutospacing="1" w:line="555" w:lineRule="exact"/>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（三）项目成果获得我省设区市社会科学优秀成果奖一等奖的，或省部级社会科学优秀成果奖三等奖以上（含三等奖）奖励的。</w:t>
                  </w:r>
                </w:p>
                <w:p w:rsidR="00481BAC" w:rsidRPr="00481BAC" w:rsidRDefault="00481BAC" w:rsidP="00481BAC">
                  <w:pPr>
                    <w:widowControl/>
                    <w:spacing w:before="100" w:beforeAutospacing="1" w:after="100" w:afterAutospacing="1" w:line="555" w:lineRule="exact"/>
                    <w:ind w:firstLine="555"/>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四、特别委托项目申请免于同行专家鉴定的，原则上参照上述免于鉴定条件。</w:t>
                  </w:r>
                </w:p>
                <w:p w:rsidR="00481BAC" w:rsidRPr="00481BAC" w:rsidRDefault="00481BAC" w:rsidP="00481BAC">
                  <w:pPr>
                    <w:widowControl/>
                    <w:spacing w:before="100" w:beforeAutospacing="1" w:after="100" w:afterAutospacing="1" w:line="555" w:lineRule="exact"/>
                    <w:ind w:firstLineChars="200" w:firstLine="580"/>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上述条款中规定的“与项目研究内容相关的学术论文”需在本科高等院校学报或省级以上刊物发表，并注明“福建省社科规划项目资助”。</w:t>
                  </w:r>
                </w:p>
                <w:p w:rsidR="00481BAC" w:rsidRPr="00481BAC" w:rsidRDefault="00481BAC" w:rsidP="00481BAC">
                  <w:pPr>
                    <w:widowControl/>
                    <w:spacing w:before="100" w:beforeAutospacing="1" w:after="100" w:afterAutospacing="1" w:line="555" w:lineRule="exact"/>
                    <w:ind w:firstLineChars="200" w:firstLine="580"/>
                    <w:jc w:val="left"/>
                    <w:rPr>
                      <w:rFonts w:ascii="宋体" w:eastAsia="宋体" w:hAnsi="宋体" w:cs="宋体"/>
                      <w:color w:val="444341"/>
                      <w:kern w:val="0"/>
                      <w:szCs w:val="21"/>
                    </w:rPr>
                  </w:pPr>
                  <w:r w:rsidRPr="00481BAC">
                    <w:rPr>
                      <w:rFonts w:ascii="仿宋" w:eastAsia="仿宋" w:hAnsi="仿宋" w:cs="宋体" w:hint="eastAsia"/>
                      <w:color w:val="444341"/>
                      <w:kern w:val="0"/>
                      <w:sz w:val="29"/>
                      <w:szCs w:val="29"/>
                    </w:rPr>
                    <w:t>本通知的解释权归省社科规划办。</w:t>
                  </w:r>
                </w:p>
                <w:p w:rsidR="00481BAC" w:rsidRPr="00481BAC" w:rsidRDefault="00481BAC" w:rsidP="00481BAC">
                  <w:pPr>
                    <w:widowControl/>
                    <w:spacing w:before="100" w:beforeAutospacing="1" w:after="100" w:afterAutospacing="1" w:line="555" w:lineRule="exact"/>
                    <w:ind w:firstLineChars="900" w:firstLine="2610"/>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t> </w:t>
                  </w:r>
                </w:p>
                <w:p w:rsidR="00481BAC" w:rsidRPr="00481BAC" w:rsidRDefault="00481BAC" w:rsidP="00481BAC">
                  <w:pPr>
                    <w:widowControl/>
                    <w:spacing w:before="100" w:beforeAutospacing="1" w:after="100" w:afterAutospacing="1" w:line="555" w:lineRule="exact"/>
                    <w:ind w:firstLineChars="900" w:firstLine="2610"/>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t> </w:t>
                  </w:r>
                </w:p>
                <w:p w:rsidR="00481BAC" w:rsidRPr="00481BAC" w:rsidRDefault="00481BAC" w:rsidP="00481BAC">
                  <w:pPr>
                    <w:widowControl/>
                    <w:spacing w:before="100" w:beforeAutospacing="1" w:after="100" w:afterAutospacing="1" w:line="555" w:lineRule="exact"/>
                    <w:ind w:firstLineChars="1500" w:firstLine="4350"/>
                    <w:jc w:val="left"/>
                    <w:rPr>
                      <w:rFonts w:ascii="宋体" w:eastAsia="宋体" w:hAnsi="宋体" w:cs="宋体"/>
                      <w:color w:val="444341"/>
                      <w:kern w:val="0"/>
                      <w:szCs w:val="21"/>
                    </w:rPr>
                  </w:pPr>
                  <w:r w:rsidRPr="00481BAC">
                    <w:rPr>
                      <w:rFonts w:ascii="Calibri" w:eastAsia="仿宋" w:hAnsi="Calibri" w:cs="Calibri"/>
                      <w:color w:val="444341"/>
                      <w:kern w:val="0"/>
                      <w:sz w:val="29"/>
                      <w:szCs w:val="29"/>
                    </w:rPr>
                    <w:lastRenderedPageBreak/>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福建省社会科学规划办公室</w:t>
                  </w:r>
                </w:p>
                <w:p w:rsidR="00481BAC" w:rsidRPr="00481BAC" w:rsidRDefault="00481BAC" w:rsidP="00481BAC">
                  <w:pPr>
                    <w:widowControl/>
                    <w:jc w:val="center"/>
                    <w:rPr>
                      <w:rFonts w:ascii="宋体" w:eastAsia="宋体" w:hAnsi="宋体" w:cs="宋体"/>
                      <w:color w:val="444341"/>
                      <w:kern w:val="0"/>
                      <w:sz w:val="18"/>
                      <w:szCs w:val="18"/>
                    </w:rPr>
                  </w:pP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w:t>
                  </w:r>
                  <w:r w:rsidRPr="00481BAC">
                    <w:rPr>
                      <w:rFonts w:ascii="Calibri" w:eastAsia="仿宋" w:hAnsi="Calibri" w:cs="Calibri"/>
                      <w:color w:val="444341"/>
                      <w:kern w:val="0"/>
                      <w:sz w:val="29"/>
                      <w:szCs w:val="29"/>
                    </w:rPr>
                    <w:t> </w:t>
                  </w:r>
                  <w:r w:rsidRPr="00481BAC">
                    <w:rPr>
                      <w:rFonts w:ascii="仿宋" w:eastAsia="仿宋" w:hAnsi="仿宋" w:cs="宋体" w:hint="eastAsia"/>
                      <w:color w:val="444341"/>
                      <w:kern w:val="0"/>
                      <w:sz w:val="29"/>
                      <w:szCs w:val="29"/>
                    </w:rPr>
                    <w:t xml:space="preserve"> 2018年9月17日</w:t>
                  </w:r>
                </w:p>
              </w:tc>
            </w:tr>
          </w:tbl>
          <w:p w:rsidR="00481BAC" w:rsidRPr="00481BAC" w:rsidRDefault="00481BAC" w:rsidP="00481BAC">
            <w:pPr>
              <w:widowControl/>
              <w:jc w:val="center"/>
              <w:rPr>
                <w:rFonts w:ascii="宋体" w:eastAsia="宋体" w:hAnsi="宋体" w:cs="宋体"/>
                <w:color w:val="444341"/>
                <w:kern w:val="0"/>
                <w:sz w:val="18"/>
                <w:szCs w:val="18"/>
              </w:rPr>
            </w:pPr>
          </w:p>
        </w:tc>
      </w:tr>
    </w:tbl>
    <w:p w:rsidR="00C401B2" w:rsidRDefault="00C401B2" w:rsidP="00481BAC">
      <w:pPr>
        <w:jc w:val="center"/>
      </w:pPr>
    </w:p>
    <w:sectPr w:rsidR="00C401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AC"/>
    <w:rsid w:val="000446E6"/>
    <w:rsid w:val="00481BAC"/>
    <w:rsid w:val="00C4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E19E"/>
  <w15:chartTrackingRefBased/>
  <w15:docId w15:val="{ACCC5D6E-BDFC-4727-8716-EC6CA9CC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BAC"/>
    <w:rPr>
      <w:strike w:val="0"/>
      <w:dstrike w:val="0"/>
      <w:color w:val="444341"/>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290">
      <w:bodyDiv w:val="1"/>
      <w:marLeft w:val="0"/>
      <w:marRight w:val="0"/>
      <w:marTop w:val="0"/>
      <w:marBottom w:val="0"/>
      <w:divBdr>
        <w:top w:val="none" w:sz="0" w:space="0" w:color="auto"/>
        <w:left w:val="none" w:sz="0" w:space="0" w:color="auto"/>
        <w:bottom w:val="none" w:sz="0" w:space="0" w:color="auto"/>
        <w:right w:val="none" w:sz="0" w:space="0" w:color="auto"/>
      </w:divBdr>
      <w:divsChild>
        <w:div w:id="767313771">
          <w:marLeft w:val="0"/>
          <w:marRight w:val="0"/>
          <w:marTop w:val="0"/>
          <w:marBottom w:val="0"/>
          <w:divBdr>
            <w:top w:val="none" w:sz="0" w:space="0" w:color="auto"/>
            <w:left w:val="none" w:sz="0" w:space="0" w:color="auto"/>
            <w:bottom w:val="none" w:sz="0" w:space="0" w:color="auto"/>
            <w:right w:val="none" w:sz="0" w:space="0" w:color="auto"/>
          </w:divBdr>
          <w:divsChild>
            <w:div w:id="559946792">
              <w:marLeft w:val="0"/>
              <w:marRight w:val="0"/>
              <w:marTop w:val="0"/>
              <w:marBottom w:val="0"/>
              <w:divBdr>
                <w:top w:val="none" w:sz="0" w:space="0" w:color="auto"/>
                <w:left w:val="none" w:sz="0" w:space="0" w:color="auto"/>
                <w:bottom w:val="none" w:sz="0" w:space="0" w:color="auto"/>
                <w:right w:val="none" w:sz="0" w:space="0" w:color="auto"/>
              </w:divBdr>
              <w:divsChild>
                <w:div w:id="675772388">
                  <w:marLeft w:val="0"/>
                  <w:marRight w:val="0"/>
                  <w:marTop w:val="0"/>
                  <w:marBottom w:val="0"/>
                  <w:divBdr>
                    <w:top w:val="none" w:sz="0" w:space="0" w:color="auto"/>
                    <w:left w:val="none" w:sz="0" w:space="0" w:color="auto"/>
                    <w:bottom w:val="none" w:sz="0" w:space="0" w:color="auto"/>
                    <w:right w:val="none" w:sz="0" w:space="0" w:color="auto"/>
                  </w:divBdr>
                  <w:divsChild>
                    <w:div w:id="1968047419">
                      <w:marLeft w:val="0"/>
                      <w:marRight w:val="0"/>
                      <w:marTop w:val="0"/>
                      <w:marBottom w:val="0"/>
                      <w:divBdr>
                        <w:top w:val="none" w:sz="0" w:space="0" w:color="auto"/>
                        <w:left w:val="none" w:sz="0" w:space="0" w:color="auto"/>
                        <w:bottom w:val="none" w:sz="0" w:space="0" w:color="auto"/>
                        <w:right w:val="none" w:sz="0" w:space="0" w:color="auto"/>
                      </w:divBdr>
                      <w:divsChild>
                        <w:div w:id="8754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1276">
      <w:bodyDiv w:val="1"/>
      <w:marLeft w:val="0"/>
      <w:marRight w:val="0"/>
      <w:marTop w:val="0"/>
      <w:marBottom w:val="0"/>
      <w:divBdr>
        <w:top w:val="none" w:sz="0" w:space="0" w:color="auto"/>
        <w:left w:val="none" w:sz="0" w:space="0" w:color="auto"/>
        <w:bottom w:val="none" w:sz="0" w:space="0" w:color="auto"/>
        <w:right w:val="none" w:sz="0" w:space="0" w:color="auto"/>
      </w:divBdr>
      <w:divsChild>
        <w:div w:id="505559212">
          <w:marLeft w:val="0"/>
          <w:marRight w:val="0"/>
          <w:marTop w:val="0"/>
          <w:marBottom w:val="0"/>
          <w:divBdr>
            <w:top w:val="none" w:sz="0" w:space="0" w:color="auto"/>
            <w:left w:val="none" w:sz="0" w:space="0" w:color="auto"/>
            <w:bottom w:val="none" w:sz="0" w:space="0" w:color="auto"/>
            <w:right w:val="none" w:sz="0" w:space="0" w:color="auto"/>
          </w:divBdr>
          <w:divsChild>
            <w:div w:id="407308954">
              <w:marLeft w:val="0"/>
              <w:marRight w:val="0"/>
              <w:marTop w:val="0"/>
              <w:marBottom w:val="0"/>
              <w:divBdr>
                <w:top w:val="none" w:sz="0" w:space="0" w:color="auto"/>
                <w:left w:val="none" w:sz="0" w:space="0" w:color="auto"/>
                <w:bottom w:val="none" w:sz="0" w:space="0" w:color="auto"/>
                <w:right w:val="none" w:sz="0" w:space="0" w:color="auto"/>
              </w:divBdr>
              <w:divsChild>
                <w:div w:id="210655742">
                  <w:marLeft w:val="0"/>
                  <w:marRight w:val="0"/>
                  <w:marTop w:val="0"/>
                  <w:marBottom w:val="0"/>
                  <w:divBdr>
                    <w:top w:val="none" w:sz="0" w:space="0" w:color="auto"/>
                    <w:left w:val="none" w:sz="0" w:space="0" w:color="auto"/>
                    <w:bottom w:val="none" w:sz="0" w:space="0" w:color="auto"/>
                    <w:right w:val="none" w:sz="0" w:space="0" w:color="auto"/>
                  </w:divBdr>
                  <w:divsChild>
                    <w:div w:id="1524125535">
                      <w:marLeft w:val="0"/>
                      <w:marRight w:val="0"/>
                      <w:marTop w:val="0"/>
                      <w:marBottom w:val="0"/>
                      <w:divBdr>
                        <w:top w:val="none" w:sz="0" w:space="0" w:color="auto"/>
                        <w:left w:val="none" w:sz="0" w:space="0" w:color="auto"/>
                        <w:bottom w:val="none" w:sz="0" w:space="0" w:color="auto"/>
                        <w:right w:val="none" w:sz="0" w:space="0" w:color="auto"/>
                      </w:divBdr>
                      <w:divsChild>
                        <w:div w:id="662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c.fjnu.edu.cn/0b/5a/c724a199514/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2019-05-14T07:16:00Z</dcterms:created>
  <dcterms:modified xsi:type="dcterms:W3CDTF">2019-05-14T07:18:00Z</dcterms:modified>
</cp:coreProperties>
</file>